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BFA7" w14:textId="1D23C148" w:rsidR="00CE062C" w:rsidRPr="00CE062C" w:rsidRDefault="008D1CF7" w:rsidP="00CE062C">
      <w:pPr>
        <w:jc w:val="center"/>
        <w:rPr>
          <w:rFonts w:ascii="Rockwell" w:hAnsi="Rockwell"/>
          <w:sz w:val="48"/>
          <w:szCs w:val="56"/>
        </w:rPr>
      </w:pPr>
      <w:r>
        <w:rPr>
          <w:rFonts w:ascii="Rockwell" w:hAnsi="Rockwell"/>
          <w:sz w:val="48"/>
          <w:szCs w:val="56"/>
        </w:rPr>
        <w:t>SDG Dashboard for Albania: A Quick Guide</w:t>
      </w:r>
    </w:p>
    <w:p w14:paraId="5B2C4B73" w14:textId="77777777" w:rsidR="00CE062C" w:rsidRDefault="00CE062C" w:rsidP="00CE062C">
      <w:pPr>
        <w:jc w:val="right"/>
      </w:pPr>
    </w:p>
    <w:p w14:paraId="4D575630" w14:textId="4264A36E" w:rsidR="00CE062C" w:rsidRPr="00ED56C4" w:rsidRDefault="00CE062C" w:rsidP="00CE062C">
      <w:pPr>
        <w:jc w:val="right"/>
        <w:rPr>
          <w:sz w:val="18"/>
          <w:szCs w:val="18"/>
        </w:rPr>
      </w:pPr>
      <w:r w:rsidRPr="00A23A38">
        <w:rPr>
          <w:sz w:val="18"/>
          <w:szCs w:val="18"/>
        </w:rPr>
        <w:t xml:space="preserve">Version </w:t>
      </w:r>
      <w:r w:rsidR="008D1CF7">
        <w:rPr>
          <w:sz w:val="18"/>
          <w:szCs w:val="18"/>
        </w:rPr>
        <w:t>3</w:t>
      </w:r>
      <w:r w:rsidR="00F24513">
        <w:rPr>
          <w:sz w:val="18"/>
          <w:szCs w:val="18"/>
        </w:rPr>
        <w:t>.</w:t>
      </w:r>
      <w:r w:rsidR="008D1CF7">
        <w:rPr>
          <w:sz w:val="18"/>
          <w:szCs w:val="18"/>
        </w:rPr>
        <w:t>1</w:t>
      </w:r>
      <w:r w:rsidR="00F24513">
        <w:rPr>
          <w:sz w:val="18"/>
          <w:szCs w:val="18"/>
        </w:rPr>
        <w:t xml:space="preserve"> </w:t>
      </w:r>
      <w:r w:rsidR="008D1CF7">
        <w:rPr>
          <w:sz w:val="18"/>
          <w:szCs w:val="18"/>
        </w:rPr>
        <w:t>REL</w:t>
      </w:r>
      <w:r w:rsidRPr="00A23A38">
        <w:rPr>
          <w:sz w:val="18"/>
          <w:szCs w:val="18"/>
        </w:rPr>
        <w:t xml:space="preserve">, </w:t>
      </w:r>
      <w:r w:rsidR="0043277E">
        <w:rPr>
          <w:sz w:val="18"/>
          <w:szCs w:val="18"/>
        </w:rPr>
        <w:t>1</w:t>
      </w:r>
      <w:r w:rsidR="008D1CF7">
        <w:rPr>
          <w:sz w:val="18"/>
          <w:szCs w:val="18"/>
        </w:rPr>
        <w:t>2</w:t>
      </w:r>
      <w:r w:rsidR="00F24513">
        <w:rPr>
          <w:sz w:val="18"/>
          <w:szCs w:val="18"/>
        </w:rPr>
        <w:t xml:space="preserve"> April 2018</w:t>
      </w:r>
    </w:p>
    <w:p w14:paraId="33581768" w14:textId="4FF21689" w:rsidR="0085244D" w:rsidRDefault="0085244D" w:rsidP="0043277E">
      <w:pPr>
        <w:ind w:firstLine="709"/>
        <w:jc w:val="both"/>
      </w:pPr>
    </w:p>
    <w:p w14:paraId="73C41EC7" w14:textId="77777777" w:rsidR="008D1CF7" w:rsidRDefault="008D1CF7" w:rsidP="008D1CF7">
      <w:pPr>
        <w:pStyle w:val="Heading1"/>
      </w:pPr>
      <w:r>
        <w:t>The scope of the Dashboard</w:t>
      </w:r>
    </w:p>
    <w:p w14:paraId="64C13EA3" w14:textId="45DDA517" w:rsidR="00853F08" w:rsidRDefault="008D1CF7" w:rsidP="008D1CF7">
      <w:pPr>
        <w:ind w:firstLine="709"/>
        <w:jc w:val="both"/>
      </w:pPr>
      <w:r>
        <w:t>Domestication/localization of SDGs requires setting up a Monitoring and Evaluation system, ideally through inclusion of SDG-related indicators into domestic strategic planning systems. A starting point in this process is global set of SDG indicators, developed by the Inter-Agency and Expert Group on SDG Indicators (IAEG-SDGs) and agreed to, as a practical starting point at the 47th session of the UN Statistical Commission held in March 2016</w:t>
      </w:r>
      <w:r>
        <w:rPr>
          <w:rStyle w:val="FootnoteReference"/>
        </w:rPr>
        <w:footnoteReference w:id="1"/>
      </w:r>
      <w:r>
        <w:t>. While global indicators offer international yardstick for internationally agreed development agenda, the set could be insufficient for monitoring of situation in a country, as they prioritize international comparability at the expense of local adequacy, and aims at covering all targets at the expense of partial (or simply available) indicators</w:t>
      </w:r>
      <w:r>
        <w:rPr>
          <w:rStyle w:val="FootnoteReference"/>
        </w:rPr>
        <w:footnoteReference w:id="2"/>
      </w:r>
      <w:r>
        <w:t>. In addition, just in a few instances Global indicators put forward specific targets to be achieved, and even in these cases targets are not country sensitive. The Dashboard makes a step towards country-wide adequate system through (i) identifying “official” international indicators</w:t>
      </w:r>
      <w:r>
        <w:rPr>
          <w:rStyle w:val="FootnoteReference"/>
        </w:rPr>
        <w:footnoteReference w:id="3"/>
      </w:r>
      <w:r>
        <w:t xml:space="preserve"> available for country</w:t>
      </w:r>
      <w:r>
        <w:rPr>
          <w:rStyle w:val="FootnoteReference"/>
        </w:rPr>
        <w:footnoteReference w:id="4"/>
      </w:r>
      <w:r>
        <w:t>; (ii) identifying targets without indicators; and (iii) providing quick review of available country data for targets.</w:t>
      </w:r>
    </w:p>
    <w:p w14:paraId="5AFFF84E" w14:textId="29FFDDF2" w:rsidR="008D1CF7" w:rsidRDefault="008D1CF7" w:rsidP="00F4182D">
      <w:pPr>
        <w:ind w:firstLine="709"/>
        <w:jc w:val="both"/>
      </w:pPr>
    </w:p>
    <w:p w14:paraId="57F24E07" w14:textId="0A9A67FC" w:rsidR="008D1CF7" w:rsidRDefault="008D1CF7" w:rsidP="008D1CF7">
      <w:pPr>
        <w:pStyle w:val="Heading1"/>
      </w:pPr>
      <w:r>
        <w:t>SDG Dashboard Composition</w:t>
      </w:r>
    </w:p>
    <w:p w14:paraId="7A0F26EC" w14:textId="77777777" w:rsidR="00E2605B" w:rsidRDefault="008D1CF7" w:rsidP="008D1CF7">
      <w:pPr>
        <w:ind w:firstLine="709"/>
        <w:jc w:val="both"/>
      </w:pPr>
      <w:r>
        <w:t xml:space="preserve">SDG Dashboard consists of two spreadsheets, </w:t>
      </w:r>
      <w:r>
        <w:t>[</w:t>
      </w:r>
      <w:r w:rsidRPr="008D1CF7">
        <w:t>SDG Dashboard Summary</w:t>
      </w:r>
      <w:r>
        <w:t xml:space="preserve">] </w:t>
      </w:r>
      <w:r>
        <w:t xml:space="preserve">and </w:t>
      </w:r>
      <w:r>
        <w:t>[</w:t>
      </w:r>
      <w:r w:rsidRPr="008D1CF7">
        <w:t>SDG Dashboard</w:t>
      </w:r>
      <w:r>
        <w:t>]</w:t>
      </w:r>
      <w:r>
        <w:t xml:space="preserve">. </w:t>
      </w:r>
    </w:p>
    <w:p w14:paraId="0589AA49" w14:textId="1CA46D42" w:rsidR="00E2605B" w:rsidRDefault="00E2605B" w:rsidP="00E2605B">
      <w:pPr>
        <w:pStyle w:val="Heading2"/>
      </w:pPr>
      <w:r w:rsidRPr="008D1CF7">
        <w:t>SDG Dashboard Summary</w:t>
      </w:r>
    </w:p>
    <w:p w14:paraId="6E3F7551" w14:textId="32551815" w:rsidR="008D1CF7" w:rsidRDefault="008D1CF7" w:rsidP="008D1CF7">
      <w:pPr>
        <w:ind w:firstLine="709"/>
        <w:jc w:val="both"/>
      </w:pPr>
      <w:r>
        <w:t>Indicators spreadsheet combines “official” international indicators and country indicators from several datasets. Each indicator is classified into one of four categories, using threshold:</w:t>
      </w:r>
    </w:p>
    <w:p w14:paraId="13848AB5" w14:textId="6322797E" w:rsidR="008D1CF7" w:rsidRDefault="008D1CF7" w:rsidP="008D1CF7">
      <w:pPr>
        <w:pStyle w:val="ListParagraph"/>
        <w:numPr>
          <w:ilvl w:val="0"/>
          <w:numId w:val="22"/>
        </w:numPr>
        <w:jc w:val="both"/>
      </w:pPr>
      <w:r w:rsidRPr="00E2605B">
        <w:rPr>
          <w:highlight w:val="green"/>
        </w:rPr>
        <w:t>Green</w:t>
      </w:r>
      <w:r>
        <w:t xml:space="preserve">—target </w:t>
      </w:r>
      <w:r>
        <w:t xml:space="preserve">for 2030 </w:t>
      </w:r>
      <w:r>
        <w:t>achieved</w:t>
      </w:r>
    </w:p>
    <w:p w14:paraId="5EC9F2FB" w14:textId="32FB92B3" w:rsidR="008D1CF7" w:rsidRDefault="008D1CF7" w:rsidP="008D1CF7">
      <w:pPr>
        <w:pStyle w:val="ListParagraph"/>
        <w:numPr>
          <w:ilvl w:val="0"/>
          <w:numId w:val="22"/>
        </w:numPr>
        <w:jc w:val="both"/>
      </w:pPr>
      <w:r w:rsidRPr="00E2605B">
        <w:rPr>
          <w:highlight w:val="yellow"/>
        </w:rPr>
        <w:t>Yellow</w:t>
      </w:r>
      <w:r>
        <w:t xml:space="preserve">—target </w:t>
      </w:r>
      <w:r>
        <w:t xml:space="preserve">2030 </w:t>
      </w:r>
      <w:r>
        <w:t xml:space="preserve">yet to be achieved, but </w:t>
      </w:r>
      <w:bookmarkStart w:id="0" w:name="_Hlk511318067"/>
      <w:r>
        <w:t>intermediate target is achieved</w:t>
      </w:r>
      <w:bookmarkEnd w:id="0"/>
    </w:p>
    <w:p w14:paraId="047B6DFD" w14:textId="143D3B6A" w:rsidR="008D1CF7" w:rsidRDefault="008D1CF7" w:rsidP="008D1CF7">
      <w:pPr>
        <w:pStyle w:val="ListParagraph"/>
        <w:numPr>
          <w:ilvl w:val="0"/>
          <w:numId w:val="22"/>
        </w:numPr>
        <w:jc w:val="both"/>
      </w:pPr>
      <w:r w:rsidRPr="00E2605B">
        <w:rPr>
          <w:highlight w:val="red"/>
        </w:rPr>
        <w:lastRenderedPageBreak/>
        <w:t>Red</w:t>
      </w:r>
      <w:r>
        <w:t xml:space="preserve">—intermediate target is </w:t>
      </w:r>
      <w:r>
        <w:t xml:space="preserve">not </w:t>
      </w:r>
      <w:r>
        <w:t>achieved.</w:t>
      </w:r>
    </w:p>
    <w:p w14:paraId="0F62A94E" w14:textId="61CFFB9F" w:rsidR="008D1CF7" w:rsidRDefault="008D1CF7" w:rsidP="008D1CF7">
      <w:pPr>
        <w:pStyle w:val="ListParagraph"/>
        <w:numPr>
          <w:ilvl w:val="0"/>
          <w:numId w:val="22"/>
        </w:numPr>
        <w:jc w:val="both"/>
      </w:pPr>
      <w:r w:rsidRPr="00E2605B">
        <w:rPr>
          <w:highlight w:val="lightGray"/>
        </w:rPr>
        <w:t>Gray</w:t>
      </w:r>
      <w:r>
        <w:t>—no indicator available for a target</w:t>
      </w:r>
      <w:r>
        <w:t>, or judgement is impossible</w:t>
      </w:r>
    </w:p>
    <w:p w14:paraId="02F4F2B5" w14:textId="68FD6640" w:rsidR="008D1CF7" w:rsidRDefault="008D1CF7" w:rsidP="008D1CF7">
      <w:pPr>
        <w:ind w:firstLine="709"/>
        <w:jc w:val="both"/>
      </w:pPr>
      <w:r>
        <w:rPr>
          <w:noProof/>
        </w:rPr>
        <w:drawing>
          <wp:inline distT="0" distB="0" distL="0" distR="0" wp14:anchorId="4A0CBD51" wp14:editId="650F5AAF">
            <wp:extent cx="6300000" cy="2811600"/>
            <wp:effectExtent l="0" t="0" r="571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000" cy="2811600"/>
                    </a:xfrm>
                    <a:prstGeom prst="rect">
                      <a:avLst/>
                    </a:prstGeom>
                    <a:noFill/>
                  </pic:spPr>
                </pic:pic>
              </a:graphicData>
            </a:graphic>
          </wp:inline>
        </w:drawing>
      </w:r>
    </w:p>
    <w:p w14:paraId="5B008052" w14:textId="4860E965" w:rsidR="008D1CF7" w:rsidRDefault="008D1CF7" w:rsidP="008D1CF7">
      <w:pPr>
        <w:ind w:firstLine="709"/>
        <w:jc w:val="both"/>
      </w:pPr>
      <w:r>
        <w:t xml:space="preserve">Each bar correspond to all indicators for each Goal, and Green, Yellow, Red and Gray segments correspond to share of indicators in each category. This information is summarized it table on the same sheet. </w:t>
      </w:r>
    </w:p>
    <w:p w14:paraId="4803A672" w14:textId="77777777" w:rsidR="00E2605B" w:rsidRDefault="00E2605B" w:rsidP="008D1CF7">
      <w:pPr>
        <w:ind w:firstLine="709"/>
        <w:jc w:val="both"/>
      </w:pPr>
    </w:p>
    <w:p w14:paraId="48E6AC2C" w14:textId="1CB0DC64" w:rsidR="008D1CF7" w:rsidRDefault="00E2605B" w:rsidP="00E2605B">
      <w:pPr>
        <w:pStyle w:val="Heading2"/>
      </w:pPr>
      <w:r w:rsidRPr="008D1CF7">
        <w:t>SDG Dashboard</w:t>
      </w:r>
    </w:p>
    <w:p w14:paraId="3C64F2BF" w14:textId="042794E7" w:rsidR="00E2605B" w:rsidRDefault="00E2605B" w:rsidP="008D1CF7">
      <w:pPr>
        <w:ind w:firstLine="709"/>
        <w:jc w:val="both"/>
      </w:pPr>
      <w:r>
        <w:t xml:space="preserve">SDG Dashboard sheet contains detailed information for each indicator </w:t>
      </w:r>
    </w:p>
    <w:p w14:paraId="51D35D20" w14:textId="5C877F43" w:rsidR="008D1CF7" w:rsidRDefault="008D1CF7" w:rsidP="00E2605B">
      <w:pPr>
        <w:jc w:val="both"/>
      </w:pPr>
      <w:r w:rsidRPr="008D1CF7">
        <w:drawing>
          <wp:inline distT="0" distB="0" distL="0" distR="0" wp14:anchorId="2AF0BDB7" wp14:editId="45E60DFB">
            <wp:extent cx="6300000" cy="1054800"/>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3408"/>
                    <a:stretch/>
                  </pic:blipFill>
                  <pic:spPr bwMode="auto">
                    <a:xfrm>
                      <a:off x="0" y="0"/>
                      <a:ext cx="6300000" cy="1054800"/>
                    </a:xfrm>
                    <a:prstGeom prst="rect">
                      <a:avLst/>
                    </a:prstGeom>
                    <a:noFill/>
                    <a:ln>
                      <a:noFill/>
                    </a:ln>
                    <a:extLst>
                      <a:ext uri="{53640926-AAD7-44D8-BBD7-CCE9431645EC}">
                        <a14:shadowObscured xmlns:a14="http://schemas.microsoft.com/office/drawing/2010/main"/>
                      </a:ext>
                    </a:extLst>
                  </pic:spPr>
                </pic:pic>
              </a:graphicData>
            </a:graphic>
          </wp:inline>
        </w:drawing>
      </w:r>
    </w:p>
    <w:p w14:paraId="044D5AC2" w14:textId="77777777" w:rsidR="00E2605B" w:rsidRDefault="00E2605B" w:rsidP="00E2605B">
      <w:pPr>
        <w:jc w:val="both"/>
      </w:pPr>
    </w:p>
    <w:p w14:paraId="67DAA8F5" w14:textId="7EBCC4A9" w:rsidR="00E2605B" w:rsidRDefault="00E2605B" w:rsidP="00E2605B">
      <w:pPr>
        <w:jc w:val="both"/>
      </w:pPr>
      <w:r w:rsidRPr="001138FB">
        <w:rPr>
          <w:b/>
        </w:rPr>
        <w:t>Goals and targets</w:t>
      </w:r>
      <w:r>
        <w:t>—name of global indicators and targets</w:t>
      </w:r>
    </w:p>
    <w:p w14:paraId="437790EC" w14:textId="77777777" w:rsidR="00E2605B" w:rsidRDefault="00E2605B" w:rsidP="00E2605B">
      <w:pPr>
        <w:jc w:val="both"/>
      </w:pPr>
      <w:r w:rsidRPr="001138FB">
        <w:rPr>
          <w:b/>
        </w:rPr>
        <w:t>Indicator</w:t>
      </w:r>
      <w:r>
        <w:t>—name of indicator</w:t>
      </w:r>
    </w:p>
    <w:p w14:paraId="736B4919" w14:textId="77777777" w:rsidR="00E2605B" w:rsidRDefault="00E2605B" w:rsidP="00E2605B">
      <w:pPr>
        <w:jc w:val="both"/>
      </w:pPr>
      <w:r w:rsidRPr="001138FB">
        <w:rPr>
          <w:b/>
        </w:rPr>
        <w:t>Availability</w:t>
      </w:r>
      <w:r>
        <w:t>—</w:t>
      </w:r>
      <w:r>
        <w:t>is indicator available, Yes/No</w:t>
      </w:r>
    </w:p>
    <w:p w14:paraId="2116CB4A" w14:textId="30861AE3" w:rsidR="00E2605B" w:rsidRDefault="00E2605B" w:rsidP="00E2605B">
      <w:pPr>
        <w:jc w:val="both"/>
      </w:pPr>
      <w:r w:rsidRPr="001138FB">
        <w:rPr>
          <w:b/>
        </w:rPr>
        <w:t>Indicator type</w:t>
      </w:r>
      <w:r>
        <w:t>—type of indicator, according to the following classification:</w:t>
      </w:r>
    </w:p>
    <w:p w14:paraId="660DD06D" w14:textId="77777777" w:rsidR="00E2605B" w:rsidRDefault="00E2605B" w:rsidP="00E2605B">
      <w:pPr>
        <w:pStyle w:val="ListParagraph"/>
        <w:numPr>
          <w:ilvl w:val="0"/>
          <w:numId w:val="22"/>
        </w:numPr>
        <w:jc w:val="both"/>
      </w:pPr>
      <w:r>
        <w:t>Global—global indicator without changes</w:t>
      </w:r>
    </w:p>
    <w:p w14:paraId="71F5BDF9" w14:textId="08CA7515" w:rsidR="00E2605B" w:rsidRPr="00E2605B" w:rsidRDefault="00E2605B" w:rsidP="00E2605B">
      <w:pPr>
        <w:pStyle w:val="ListParagraph"/>
        <w:numPr>
          <w:ilvl w:val="0"/>
          <w:numId w:val="22"/>
        </w:numPr>
        <w:jc w:val="both"/>
      </w:pPr>
      <w:r>
        <w:t>Global</w:t>
      </w:r>
      <w:r w:rsidRPr="00E2605B">
        <w:t xml:space="preserve"> adjusted—The measured unit or the reference unit is different at national level</w:t>
      </w:r>
    </w:p>
    <w:p w14:paraId="5BDC59CA" w14:textId="1B348914" w:rsidR="00E2605B" w:rsidRPr="00E2605B" w:rsidRDefault="00E2605B" w:rsidP="00E2605B">
      <w:pPr>
        <w:pStyle w:val="ListParagraph"/>
        <w:numPr>
          <w:ilvl w:val="0"/>
          <w:numId w:val="22"/>
        </w:numPr>
        <w:jc w:val="both"/>
      </w:pPr>
      <w:r>
        <w:t xml:space="preserve">Global </w:t>
      </w:r>
      <w:r w:rsidRPr="00E2605B">
        <w:t>split—too general indicators or ambiguity of definition</w:t>
      </w:r>
      <w:r>
        <w:t xml:space="preserve">, which required split into a </w:t>
      </w:r>
      <w:r w:rsidRPr="00E2605B">
        <w:t>few indicators</w:t>
      </w:r>
    </w:p>
    <w:p w14:paraId="54A4A317" w14:textId="5677F3E1" w:rsidR="00E2605B" w:rsidRPr="00E2605B" w:rsidRDefault="00E2605B" w:rsidP="00E2605B">
      <w:pPr>
        <w:pStyle w:val="ListParagraph"/>
        <w:numPr>
          <w:ilvl w:val="0"/>
          <w:numId w:val="22"/>
        </w:numPr>
        <w:jc w:val="both"/>
      </w:pPr>
      <w:r>
        <w:t xml:space="preserve">Global </w:t>
      </w:r>
      <w:r w:rsidRPr="00E2605B">
        <w:t>proxy—the indicators differs, but they reveal general context of global indicators</w:t>
      </w:r>
    </w:p>
    <w:p w14:paraId="769C4E51" w14:textId="77777777" w:rsidR="00E2605B" w:rsidRDefault="00E2605B" w:rsidP="00E2605B">
      <w:pPr>
        <w:jc w:val="both"/>
      </w:pPr>
      <w:r w:rsidRPr="001138FB">
        <w:rPr>
          <w:b/>
        </w:rPr>
        <w:t>Trend</w:t>
      </w:r>
      <w:r>
        <w:t>—spark chart showing trend in indicator</w:t>
      </w:r>
    </w:p>
    <w:p w14:paraId="7D70C632" w14:textId="4BE8370A" w:rsidR="00E2605B" w:rsidRDefault="00E2605B" w:rsidP="00E2605B">
      <w:pPr>
        <w:jc w:val="both"/>
      </w:pPr>
      <w:r w:rsidRPr="001138FB">
        <w:rPr>
          <w:b/>
        </w:rPr>
        <w:t>Most recent</w:t>
      </w:r>
      <w:r>
        <w:t>—most recent value of indicator</w:t>
      </w:r>
    </w:p>
    <w:p w14:paraId="1920A562" w14:textId="77777777" w:rsidR="00E2605B" w:rsidRDefault="00E2605B" w:rsidP="00E2605B">
      <w:pPr>
        <w:jc w:val="both"/>
      </w:pPr>
      <w:r w:rsidRPr="001138FB">
        <w:rPr>
          <w:b/>
        </w:rPr>
        <w:t>Most recent status</w:t>
      </w:r>
      <w:r>
        <w:t xml:space="preserve">—status of </w:t>
      </w:r>
      <w:r>
        <w:t>most recent value of indicator</w:t>
      </w:r>
      <w:r>
        <w:t>, assessed by schedule described above</w:t>
      </w:r>
    </w:p>
    <w:p w14:paraId="6F14680C" w14:textId="21FBC4AA" w:rsidR="00E2605B" w:rsidRDefault="00E2605B" w:rsidP="00E2605B">
      <w:pPr>
        <w:jc w:val="both"/>
      </w:pPr>
      <w:r w:rsidRPr="001138FB">
        <w:rPr>
          <w:b/>
        </w:rPr>
        <w:lastRenderedPageBreak/>
        <w:t>Target 2030</w:t>
      </w:r>
      <w:r>
        <w:t>—target value for indicator for year 2030</w:t>
      </w:r>
    </w:p>
    <w:p w14:paraId="1624F680" w14:textId="77777777" w:rsidR="00E2605B" w:rsidRDefault="00E2605B" w:rsidP="00E2605B">
      <w:pPr>
        <w:jc w:val="both"/>
      </w:pPr>
      <w:r w:rsidRPr="001138FB">
        <w:rPr>
          <w:b/>
        </w:rPr>
        <w:t>Intermediate target</w:t>
      </w:r>
      <w:r>
        <w:t xml:space="preserve">—intermediary target value for indicator </w:t>
      </w:r>
    </w:p>
    <w:p w14:paraId="60BDB7B5" w14:textId="7FC1BDD9" w:rsidR="00E2605B" w:rsidRDefault="00E2605B" w:rsidP="00E2605B">
      <w:pPr>
        <w:jc w:val="both"/>
      </w:pPr>
      <w:r w:rsidRPr="001138FB">
        <w:rPr>
          <w:b/>
        </w:rPr>
        <w:t>Direction</w:t>
      </w:r>
      <w:r>
        <w:t>—</w:t>
      </w:r>
      <w:r w:rsidR="001138FB">
        <w:t xml:space="preserve">desirable direction of indicator  </w:t>
      </w:r>
    </w:p>
    <w:p w14:paraId="7528FEB6" w14:textId="77777777" w:rsidR="00E2605B" w:rsidRDefault="00E2605B" w:rsidP="00E2605B">
      <w:pPr>
        <w:pStyle w:val="ListParagraph"/>
        <w:numPr>
          <w:ilvl w:val="0"/>
          <w:numId w:val="23"/>
        </w:numPr>
        <w:jc w:val="both"/>
      </w:pPr>
      <w:r>
        <w:t>Positive—more is better, we would like to increase value of indicator, i.e. Enrollment rate</w:t>
      </w:r>
    </w:p>
    <w:p w14:paraId="3B5A895D" w14:textId="77777777" w:rsidR="00E2605B" w:rsidRDefault="00E2605B" w:rsidP="00E2605B">
      <w:pPr>
        <w:pStyle w:val="ListParagraph"/>
        <w:numPr>
          <w:ilvl w:val="0"/>
          <w:numId w:val="23"/>
        </w:numPr>
        <w:jc w:val="both"/>
      </w:pPr>
      <w:r>
        <w:t>Negative</w:t>
      </w:r>
      <w:r>
        <w:t>—</w:t>
      </w:r>
      <w:r>
        <w:t xml:space="preserve">more is worse </w:t>
      </w:r>
      <w:r>
        <w:t xml:space="preserve">we would like to increase value of indicator, i.e. </w:t>
      </w:r>
      <w:r>
        <w:t xml:space="preserve">Poverty </w:t>
      </w:r>
      <w:r>
        <w:t>rate</w:t>
      </w:r>
      <w:r w:rsidRPr="00E2605B">
        <w:t xml:space="preserve"> </w:t>
      </w:r>
    </w:p>
    <w:p w14:paraId="4EBA0A2F" w14:textId="24333684" w:rsidR="00E2605B" w:rsidRDefault="00E2605B" w:rsidP="00E2605B">
      <w:pPr>
        <w:jc w:val="both"/>
      </w:pPr>
      <w:r w:rsidRPr="001138FB">
        <w:rPr>
          <w:b/>
        </w:rPr>
        <w:t>Probability of achieving Target 2030</w:t>
      </w:r>
      <w:r>
        <w:t xml:space="preserve">—probability of achieving target value, which is </w:t>
      </w:r>
      <w:r w:rsidR="001138FB">
        <w:t>assessed based on projected level, using trend for 2007-2017. These projections should be treated with extreme caution, as often times they are based on very short trends, and past is not always good guidance for future. This probability is best visualized by SDG Tracker (see below). Probability is achieved by four points scale</w:t>
      </w:r>
    </w:p>
    <w:p w14:paraId="0F13072F" w14:textId="6FD2FA1C" w:rsidR="00E2605B" w:rsidRDefault="00E2605B" w:rsidP="00E2605B">
      <w:pPr>
        <w:pStyle w:val="ListParagraph"/>
        <w:numPr>
          <w:ilvl w:val="0"/>
          <w:numId w:val="24"/>
        </w:numPr>
        <w:jc w:val="both"/>
      </w:pPr>
      <w:r w:rsidRPr="00E2605B">
        <w:drawing>
          <wp:inline distT="0" distB="0" distL="0" distR="0" wp14:anchorId="5B0FE484" wp14:editId="6C870286">
            <wp:extent cx="845185" cy="1981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185" cy="198120"/>
                    </a:xfrm>
                    <a:prstGeom prst="rect">
                      <a:avLst/>
                    </a:prstGeom>
                    <a:noFill/>
                    <a:ln>
                      <a:noFill/>
                    </a:ln>
                  </pic:spPr>
                </pic:pic>
              </a:graphicData>
            </a:graphic>
          </wp:inline>
        </w:drawing>
      </w:r>
      <w:r w:rsidR="001138FB">
        <w:t>—projected level is equal or better than target 2030</w:t>
      </w:r>
    </w:p>
    <w:p w14:paraId="0EBBCEBC" w14:textId="16346EA3" w:rsidR="00E2605B" w:rsidRDefault="00E2605B" w:rsidP="00E2605B">
      <w:pPr>
        <w:pStyle w:val="ListParagraph"/>
        <w:numPr>
          <w:ilvl w:val="0"/>
          <w:numId w:val="24"/>
        </w:numPr>
        <w:jc w:val="both"/>
      </w:pPr>
      <w:r w:rsidRPr="00E2605B">
        <w:drawing>
          <wp:inline distT="0" distB="0" distL="0" distR="0" wp14:anchorId="13C0F358" wp14:editId="04E6B091">
            <wp:extent cx="845185" cy="1981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185" cy="198120"/>
                    </a:xfrm>
                    <a:prstGeom prst="rect">
                      <a:avLst/>
                    </a:prstGeom>
                    <a:noFill/>
                    <a:ln>
                      <a:noFill/>
                    </a:ln>
                  </pic:spPr>
                </pic:pic>
              </a:graphicData>
            </a:graphic>
          </wp:inline>
        </w:drawing>
      </w:r>
      <w:r w:rsidR="001138FB">
        <w:t xml:space="preserve">—projected level is equal or better than </w:t>
      </w:r>
      <w:r w:rsidR="001138FB">
        <w:t xml:space="preserve">average between </w:t>
      </w:r>
      <w:r w:rsidR="001138FB">
        <w:t>target 2030</w:t>
      </w:r>
      <w:r w:rsidR="001138FB">
        <w:t xml:space="preserve"> and intermediate target</w:t>
      </w:r>
    </w:p>
    <w:p w14:paraId="26A06656" w14:textId="63E7F950" w:rsidR="00E2605B" w:rsidRDefault="00E2605B" w:rsidP="00E2605B">
      <w:pPr>
        <w:pStyle w:val="ListParagraph"/>
        <w:numPr>
          <w:ilvl w:val="0"/>
          <w:numId w:val="24"/>
        </w:numPr>
        <w:jc w:val="both"/>
      </w:pPr>
      <w:r w:rsidRPr="00E2605B">
        <w:drawing>
          <wp:inline distT="0" distB="0" distL="0" distR="0" wp14:anchorId="2C81A982" wp14:editId="49D45036">
            <wp:extent cx="845185" cy="1981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185" cy="198120"/>
                    </a:xfrm>
                    <a:prstGeom prst="rect">
                      <a:avLst/>
                    </a:prstGeom>
                    <a:noFill/>
                    <a:ln>
                      <a:noFill/>
                    </a:ln>
                  </pic:spPr>
                </pic:pic>
              </a:graphicData>
            </a:graphic>
          </wp:inline>
        </w:drawing>
      </w:r>
      <w:bookmarkStart w:id="1" w:name="_Hlk511319391"/>
      <w:r w:rsidR="001138FB">
        <w:t xml:space="preserve">—projected level is equal or better intermediate </w:t>
      </w:r>
      <w:r w:rsidR="001138FB">
        <w:t>target</w:t>
      </w:r>
      <w:bookmarkEnd w:id="1"/>
    </w:p>
    <w:p w14:paraId="4C1E9A1F" w14:textId="78FDC302" w:rsidR="00E2605B" w:rsidRDefault="00E2605B" w:rsidP="00E2605B">
      <w:pPr>
        <w:pStyle w:val="ListParagraph"/>
        <w:numPr>
          <w:ilvl w:val="0"/>
          <w:numId w:val="24"/>
        </w:numPr>
        <w:jc w:val="both"/>
      </w:pPr>
      <w:r w:rsidRPr="00E2605B">
        <w:drawing>
          <wp:inline distT="0" distB="0" distL="0" distR="0" wp14:anchorId="001DA7F4" wp14:editId="16C3BCCE">
            <wp:extent cx="845185" cy="1981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185" cy="198120"/>
                    </a:xfrm>
                    <a:prstGeom prst="rect">
                      <a:avLst/>
                    </a:prstGeom>
                    <a:noFill/>
                    <a:ln>
                      <a:noFill/>
                    </a:ln>
                  </pic:spPr>
                </pic:pic>
              </a:graphicData>
            </a:graphic>
          </wp:inline>
        </w:drawing>
      </w:r>
      <w:r w:rsidR="001138FB">
        <w:t xml:space="preserve">—projected level is </w:t>
      </w:r>
      <w:r w:rsidR="001138FB">
        <w:t xml:space="preserve">worse than </w:t>
      </w:r>
      <w:r w:rsidR="001138FB">
        <w:t>intermediate target</w:t>
      </w:r>
    </w:p>
    <w:p w14:paraId="7BF43352" w14:textId="0BDC1AAE" w:rsidR="00E2605B" w:rsidRDefault="00E2605B" w:rsidP="00E2605B">
      <w:pPr>
        <w:pStyle w:val="ListParagraph"/>
        <w:numPr>
          <w:ilvl w:val="0"/>
          <w:numId w:val="24"/>
        </w:numPr>
        <w:jc w:val="both"/>
      </w:pPr>
      <w:r w:rsidRPr="00E2605B">
        <w:drawing>
          <wp:inline distT="0" distB="0" distL="0" distR="0" wp14:anchorId="057DE807" wp14:editId="3A384B76">
            <wp:extent cx="845185" cy="1981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185" cy="198120"/>
                    </a:xfrm>
                    <a:prstGeom prst="rect">
                      <a:avLst/>
                    </a:prstGeom>
                    <a:noFill/>
                    <a:ln>
                      <a:noFill/>
                    </a:ln>
                  </pic:spPr>
                </pic:pic>
              </a:graphicData>
            </a:graphic>
          </wp:inline>
        </w:drawing>
      </w:r>
      <w:r w:rsidR="001138FB">
        <w:t xml:space="preserve">--projection is not possible </w:t>
      </w:r>
    </w:p>
    <w:p w14:paraId="10E81E3C" w14:textId="3F2865B3" w:rsidR="00E2605B" w:rsidRDefault="00E2605B" w:rsidP="00E2605B">
      <w:pPr>
        <w:jc w:val="both"/>
      </w:pPr>
      <w:r w:rsidRPr="001138FB">
        <w:rPr>
          <w:b/>
        </w:rPr>
        <w:t>EU Average, most recent</w:t>
      </w:r>
      <w:r>
        <w:t>—most recent value of indicator</w:t>
      </w:r>
      <w:r>
        <w:t xml:space="preserve"> for EU, if available; and year for which information available </w:t>
      </w:r>
    </w:p>
    <w:p w14:paraId="4AB7895A" w14:textId="0132EAA7" w:rsidR="00E2605B" w:rsidRDefault="00E2605B" w:rsidP="00E2605B">
      <w:pPr>
        <w:jc w:val="both"/>
      </w:pPr>
    </w:p>
    <w:p w14:paraId="019C3EC4" w14:textId="7E8C2E8C" w:rsidR="00E2605B" w:rsidRDefault="001138FB" w:rsidP="001138FB">
      <w:pPr>
        <w:pStyle w:val="Heading2"/>
      </w:pPr>
      <w:r>
        <w:t>SDG Tracker</w:t>
      </w:r>
    </w:p>
    <w:p w14:paraId="12AFA671" w14:textId="3FEF91DA" w:rsidR="001138FB" w:rsidRDefault="001138FB" w:rsidP="001138FB">
      <w:pPr>
        <w:ind w:firstLine="709"/>
        <w:jc w:val="both"/>
      </w:pPr>
      <w:r w:rsidRPr="001138FB">
        <w:t xml:space="preserve">SDG Dashboard with </w:t>
      </w:r>
      <w:r>
        <w:t xml:space="preserve">interactive is </w:t>
      </w:r>
      <w:r w:rsidRPr="001138FB">
        <w:t xml:space="preserve">available </w:t>
      </w:r>
      <w:r>
        <w:t xml:space="preserve">on-line </w:t>
      </w:r>
      <w:r w:rsidRPr="001138FB">
        <w:t>here</w:t>
      </w:r>
      <w:r>
        <w:t xml:space="preserve"> </w:t>
      </w:r>
      <w:hyperlink r:id="rId15" w:history="1">
        <w:r w:rsidRPr="001E72BE">
          <w:rPr>
            <w:rStyle w:val="Hyperlink"/>
          </w:rPr>
          <w:t>http://bit.ly/2HijFsF</w:t>
        </w:r>
      </w:hyperlink>
      <w:r w:rsidRPr="001138FB">
        <w:t>.</w:t>
      </w:r>
      <w:r>
        <w:t xml:space="preserve"> It allow to see detailes of each indicator: </w:t>
      </w:r>
    </w:p>
    <w:p w14:paraId="6C138DD6" w14:textId="0B013D2E" w:rsidR="001138FB" w:rsidRDefault="001138FB" w:rsidP="001138FB">
      <w:pPr>
        <w:jc w:val="both"/>
      </w:pPr>
      <w:r w:rsidRPr="001138FB">
        <w:drawing>
          <wp:inline distT="0" distB="0" distL="0" distR="0" wp14:anchorId="2E7C6050" wp14:editId="50B47718">
            <wp:extent cx="6300470" cy="3974177"/>
            <wp:effectExtent l="0" t="0" r="508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0470" cy="3974177"/>
                    </a:xfrm>
                    <a:prstGeom prst="rect">
                      <a:avLst/>
                    </a:prstGeom>
                    <a:noFill/>
                    <a:ln>
                      <a:noFill/>
                    </a:ln>
                  </pic:spPr>
                </pic:pic>
              </a:graphicData>
            </a:graphic>
          </wp:inline>
        </w:drawing>
      </w:r>
    </w:p>
    <w:p w14:paraId="4994C349" w14:textId="223F16F1" w:rsidR="001138FB" w:rsidRDefault="001138FB" w:rsidP="001138FB">
      <w:pPr>
        <w:jc w:val="both"/>
      </w:pPr>
      <w:r>
        <w:lastRenderedPageBreak/>
        <w:t xml:space="preserve">Tracker present data for each indicator for Albania and two comparators—EU and Croatia by default. </w:t>
      </w:r>
      <w:r w:rsidR="00B134A4">
        <w:t xml:space="preserve">Dotted line shows projected values for Albania. </w:t>
      </w:r>
      <w:r>
        <w:t xml:space="preserve">Bar at the right side of chart shows </w:t>
      </w:r>
      <w:r w:rsidR="00B134A4">
        <w:t xml:space="preserve">probability zones, as classified above. </w:t>
      </w:r>
      <w:bookmarkStart w:id="2" w:name="_GoBack"/>
      <w:bookmarkEnd w:id="2"/>
    </w:p>
    <w:p w14:paraId="38520029" w14:textId="77777777" w:rsidR="001138FB" w:rsidRDefault="001138FB" w:rsidP="00E2605B">
      <w:pPr>
        <w:jc w:val="both"/>
      </w:pPr>
    </w:p>
    <w:sectPr w:rsidR="001138FB" w:rsidSect="00A23A38">
      <w:footerReference w:type="default" r:id="rId17"/>
      <w:pgSz w:w="11906" w:h="16838" w:code="9"/>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5CD0B" w14:textId="77777777" w:rsidR="00896894" w:rsidRDefault="00896894" w:rsidP="00CE062C">
      <w:pPr>
        <w:spacing w:after="0" w:line="240" w:lineRule="auto"/>
      </w:pPr>
      <w:r>
        <w:separator/>
      </w:r>
    </w:p>
  </w:endnote>
  <w:endnote w:type="continuationSeparator" w:id="0">
    <w:p w14:paraId="5B96E381" w14:textId="77777777" w:rsidR="00896894" w:rsidRDefault="00896894" w:rsidP="00CE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400514"/>
      <w:docPartObj>
        <w:docPartGallery w:val="Page Numbers (Bottom of Page)"/>
        <w:docPartUnique/>
      </w:docPartObj>
    </w:sdtPr>
    <w:sdtEndPr/>
    <w:sdtContent>
      <w:p w14:paraId="468289CE" w14:textId="18DFEB54" w:rsidR="00930A3E" w:rsidRDefault="00930A3E">
        <w:pPr>
          <w:pStyle w:val="Footer"/>
        </w:pPr>
        <w:r>
          <w:rPr>
            <w:noProof/>
          </w:rPr>
          <mc:AlternateContent>
            <mc:Choice Requires="wps">
              <w:drawing>
                <wp:anchor distT="0" distB="0" distL="114300" distR="114300" simplePos="0" relativeHeight="251659264" behindDoc="0" locked="0" layoutInCell="1" allowOverlap="1" wp14:anchorId="66982EF9" wp14:editId="2D8C4D6E">
                  <wp:simplePos x="0" y="0"/>
                  <wp:positionH relativeFrom="rightMargin">
                    <wp:align>center</wp:align>
                  </wp:positionH>
                  <wp:positionV relativeFrom="bottomMargin">
                    <wp:align>center</wp:align>
                  </wp:positionV>
                  <wp:extent cx="565785" cy="19177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74F041C" w14:textId="7F3F481C" w:rsidR="00930A3E" w:rsidRDefault="00930A3E">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B134A4" w:rsidRPr="00B134A4">
                                <w:rPr>
                                  <w:noProof/>
                                  <w:color w:val="ED7D31" w:themeColor="accent2"/>
                                </w:rPr>
                                <w:t>4</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982EF9" id="Rectangle 1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3LxgIAAMM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PL7fcvGAgAAwwUAAA4AAAAAAAAAAAAAAAAALgIAAGRycy9lMm9Eb2MueG1sUEsBAi0AFAAG&#10;AAgAAAAhACPlevHbAAAAAwEAAA8AAAAAAAAAAAAAAAAAIAUAAGRycy9kb3ducmV2LnhtbFBLBQYA&#10;AAAABAAEAPMAAAAoBgAAAAA=&#10;" filled="f" fillcolor="#c0504d" stroked="f" strokecolor="#5c83b4" strokeweight="2.25pt">
                  <v:textbox inset=",0,,0">
                    <w:txbxContent>
                      <w:p w14:paraId="774F041C" w14:textId="7F3F481C" w:rsidR="00930A3E" w:rsidRDefault="00930A3E">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B134A4" w:rsidRPr="00B134A4">
                          <w:rPr>
                            <w:noProof/>
                            <w:color w:val="ED7D31" w:themeColor="accent2"/>
                          </w:rPr>
                          <w:t>4</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BB785" w14:textId="77777777" w:rsidR="00896894" w:rsidRDefault="00896894" w:rsidP="00CE062C">
      <w:pPr>
        <w:spacing w:after="0" w:line="240" w:lineRule="auto"/>
      </w:pPr>
      <w:r>
        <w:separator/>
      </w:r>
    </w:p>
  </w:footnote>
  <w:footnote w:type="continuationSeparator" w:id="0">
    <w:p w14:paraId="186651BD" w14:textId="77777777" w:rsidR="00896894" w:rsidRDefault="00896894" w:rsidP="00CE062C">
      <w:pPr>
        <w:spacing w:after="0" w:line="240" w:lineRule="auto"/>
      </w:pPr>
      <w:r>
        <w:continuationSeparator/>
      </w:r>
    </w:p>
  </w:footnote>
  <w:footnote w:id="1">
    <w:p w14:paraId="6313334D" w14:textId="77777777" w:rsidR="008D1CF7" w:rsidRDefault="008D1CF7" w:rsidP="008D1CF7">
      <w:pPr>
        <w:pStyle w:val="FootnoteText"/>
      </w:pPr>
      <w:r>
        <w:rPr>
          <w:rStyle w:val="FootnoteReference"/>
        </w:rPr>
        <w:footnoteRef/>
      </w:r>
      <w:r>
        <w:t xml:space="preserve"> </w:t>
      </w:r>
      <w:r w:rsidRPr="00811275">
        <w:t xml:space="preserve">See list of indicators here </w:t>
      </w:r>
      <w:hyperlink r:id="rId1" w:history="1">
        <w:r w:rsidRPr="003A6F16">
          <w:rPr>
            <w:rStyle w:val="Hyperlink"/>
          </w:rPr>
          <w:t>http://unstats.un.org/sdgs/indicators/indicators-list/</w:t>
        </w:r>
      </w:hyperlink>
      <w:r>
        <w:t xml:space="preserve"> </w:t>
      </w:r>
    </w:p>
  </w:footnote>
  <w:footnote w:id="2">
    <w:p w14:paraId="72A409E7" w14:textId="77777777" w:rsidR="008D1CF7" w:rsidRDefault="008D1CF7" w:rsidP="008D1CF7">
      <w:pPr>
        <w:pStyle w:val="FootnoteText"/>
      </w:pPr>
      <w:r>
        <w:rPr>
          <w:rStyle w:val="FootnoteReference"/>
        </w:rPr>
        <w:footnoteRef/>
      </w:r>
      <w:r>
        <w:t xml:space="preserve"> This is explicitly recognized ion the report of IAEG “Report of the Inter-Agency and Expert Group on</w:t>
      </w:r>
    </w:p>
    <w:p w14:paraId="1A1CE991" w14:textId="77777777" w:rsidR="008D1CF7" w:rsidRDefault="008D1CF7" w:rsidP="008D1CF7">
      <w:pPr>
        <w:pStyle w:val="FootnoteText"/>
      </w:pPr>
      <w:r>
        <w:t>Sustainable Development Goal Indicators” (</w:t>
      </w:r>
      <w:hyperlink r:id="rId2" w:history="1">
        <w:r w:rsidRPr="00E10958">
          <w:rPr>
            <w:rStyle w:val="Hyperlink"/>
          </w:rPr>
          <w:t>https://unstats.un.org/unsd/statcom/47th-session/documents/2016-2-IAEG-SDGs-E.pdf</w:t>
        </w:r>
      </w:hyperlink>
      <w:r>
        <w:t>):</w:t>
      </w:r>
    </w:p>
    <w:p w14:paraId="623922E2" w14:textId="77777777" w:rsidR="008D1CF7" w:rsidRPr="00F70AF9" w:rsidRDefault="008D1CF7" w:rsidP="008D1CF7">
      <w:pPr>
        <w:pStyle w:val="FootnoteText"/>
        <w:rPr>
          <w:i/>
        </w:rPr>
      </w:pPr>
      <w:r w:rsidRPr="00F70AF9">
        <w:rPr>
          <w:i/>
        </w:rPr>
        <w:t>22. […]  The members also recognized that, in several cases, not all the multiple aspects of the targets are addressed by the indicators and that, in the long term, efforts will need to be made by the statistical community to identify indicators to complement the existing ones.</w:t>
      </w:r>
      <w:r w:rsidRPr="00F70AF9">
        <w:rPr>
          <w:i/>
        </w:rPr>
        <w:cr/>
        <w:t>23. The Expert Group also considered the relationship between the global indicators and the indicators for regional, national and subnational and thematic monitoring. It is expected that the global indicators will form the core of all other sets of indicators, especially considering that the discussions on the global indicators took into account some of the experience with regional, national and subnational and thematic monitoring. However, additional and in some cas es different indicators might be used for regional, national and subnational levels of monitoring. These indicators will be developed by Member States. Indicators for thematic monitoring are already being developed in a number of areas.</w:t>
      </w:r>
    </w:p>
  </w:footnote>
  <w:footnote w:id="3">
    <w:p w14:paraId="44FC35AE" w14:textId="77777777" w:rsidR="008D1CF7" w:rsidRDefault="008D1CF7" w:rsidP="008D1CF7">
      <w:pPr>
        <w:pStyle w:val="FootnoteText"/>
      </w:pPr>
      <w:r>
        <w:rPr>
          <w:rStyle w:val="FootnoteReference"/>
        </w:rPr>
        <w:footnoteRef/>
      </w:r>
      <w:r>
        <w:t xml:space="preserve"> The underlying assumption is that </w:t>
      </w:r>
      <w:r w:rsidRPr="00A32F98">
        <w:t>“official” international indicators</w:t>
      </w:r>
      <w:r>
        <w:t xml:space="preserve"> collected and published by international organizations are based on country report, therefore availability of such indicator is a good proxy of country capacity to produce it. This assumption could be wrong. First, some indicators could be produced using other than national sources, for instance using mirror data. Second, some indicators could be not standardized, therefore available through country statistical system, but not through international databases. </w:t>
      </w:r>
    </w:p>
  </w:footnote>
  <w:footnote w:id="4">
    <w:p w14:paraId="1AA43E89" w14:textId="77777777" w:rsidR="008D1CF7" w:rsidRDefault="008D1CF7" w:rsidP="008D1CF7">
      <w:pPr>
        <w:pStyle w:val="FootnoteText"/>
      </w:pPr>
      <w:r>
        <w:rPr>
          <w:rStyle w:val="FootnoteReference"/>
        </w:rPr>
        <w:footnoteRef/>
      </w:r>
      <w:r>
        <w:t xml:space="preserve"> Reliance on the </w:t>
      </w:r>
      <w:r w:rsidRPr="00A32F98">
        <w:t>“official” international indicators</w:t>
      </w:r>
      <w:r>
        <w:t xml:space="preserve"> means SDG Dashboard face implementation issues in countries with weak statistical systems. In such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296D"/>
    <w:multiLevelType w:val="hybridMultilevel"/>
    <w:tmpl w:val="A8C4DDB6"/>
    <w:lvl w:ilvl="0" w:tplc="2C1C75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04F39"/>
    <w:multiLevelType w:val="hybridMultilevel"/>
    <w:tmpl w:val="FEDE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7461A"/>
    <w:multiLevelType w:val="hybridMultilevel"/>
    <w:tmpl w:val="0A3C05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33640F8"/>
    <w:multiLevelType w:val="hybridMultilevel"/>
    <w:tmpl w:val="3B96770C"/>
    <w:lvl w:ilvl="0" w:tplc="04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2ADA2B17"/>
    <w:multiLevelType w:val="hybridMultilevel"/>
    <w:tmpl w:val="871A6E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D5545E9"/>
    <w:multiLevelType w:val="hybridMultilevel"/>
    <w:tmpl w:val="9196D3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3261C4"/>
    <w:multiLevelType w:val="hybridMultilevel"/>
    <w:tmpl w:val="ED0CA23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7F60DC6"/>
    <w:multiLevelType w:val="hybridMultilevel"/>
    <w:tmpl w:val="6F5A73B2"/>
    <w:lvl w:ilvl="0" w:tplc="B42ED4A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8217CCC"/>
    <w:multiLevelType w:val="hybridMultilevel"/>
    <w:tmpl w:val="D9669A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A690C00"/>
    <w:multiLevelType w:val="hybridMultilevel"/>
    <w:tmpl w:val="0F36F0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F2126EE"/>
    <w:multiLevelType w:val="hybridMultilevel"/>
    <w:tmpl w:val="6F629C5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3F9043EC"/>
    <w:multiLevelType w:val="hybridMultilevel"/>
    <w:tmpl w:val="FFAC38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A3A5A83"/>
    <w:multiLevelType w:val="hybridMultilevel"/>
    <w:tmpl w:val="5FA82AC4"/>
    <w:lvl w:ilvl="0" w:tplc="52026BBA">
      <w:start w:val="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683D17"/>
    <w:multiLevelType w:val="hybridMultilevel"/>
    <w:tmpl w:val="BC186100"/>
    <w:lvl w:ilvl="0" w:tplc="7284D600">
      <w:numFmt w:val="bullet"/>
      <w:lvlText w:val=""/>
      <w:lvlJc w:val="left"/>
      <w:pPr>
        <w:ind w:left="1778" w:hanging="360"/>
      </w:pPr>
      <w:rPr>
        <w:rFonts w:ascii="Symbol" w:eastAsiaTheme="minorHAnsi" w:hAnsi="Symbol"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399633F"/>
    <w:multiLevelType w:val="hybridMultilevel"/>
    <w:tmpl w:val="749880BA"/>
    <w:lvl w:ilvl="0" w:tplc="64C079CE">
      <w:numFmt w:val="bullet"/>
      <w:lvlText w:val=""/>
      <w:lvlJc w:val="left"/>
      <w:pPr>
        <w:ind w:left="1069" w:hanging="360"/>
      </w:pPr>
      <w:rPr>
        <w:rFonts w:ascii="Symbol" w:eastAsiaTheme="minorHAnsi" w:hAnsi="Symbol" w:cstheme="minorBidi"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560B30BB"/>
    <w:multiLevelType w:val="hybridMultilevel"/>
    <w:tmpl w:val="746CBE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8B435DA"/>
    <w:multiLevelType w:val="hybridMultilevel"/>
    <w:tmpl w:val="0A3CEABE"/>
    <w:lvl w:ilvl="0" w:tplc="1B027F1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5EF63EFC"/>
    <w:multiLevelType w:val="hybridMultilevel"/>
    <w:tmpl w:val="080AC0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24D65C8"/>
    <w:multiLevelType w:val="hybridMultilevel"/>
    <w:tmpl w:val="116843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5F546AD"/>
    <w:multiLevelType w:val="hybridMultilevel"/>
    <w:tmpl w:val="4AF27A2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A7E2094"/>
    <w:multiLevelType w:val="hybridMultilevel"/>
    <w:tmpl w:val="1054D6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21013B2"/>
    <w:multiLevelType w:val="hybridMultilevel"/>
    <w:tmpl w:val="7AEC5112"/>
    <w:lvl w:ilvl="0" w:tplc="7284D600">
      <w:numFmt w:val="bullet"/>
      <w:lvlText w:val=""/>
      <w:lvlJc w:val="left"/>
      <w:pPr>
        <w:ind w:left="1069" w:hanging="360"/>
      </w:pPr>
      <w:rPr>
        <w:rFonts w:ascii="Symbol" w:eastAsiaTheme="minorHAnsi" w:hAnsi="Symbol"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763D5D21"/>
    <w:multiLevelType w:val="hybridMultilevel"/>
    <w:tmpl w:val="1BF019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7A9338E2"/>
    <w:multiLevelType w:val="hybridMultilevel"/>
    <w:tmpl w:val="D184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2"/>
  </w:num>
  <w:num w:numId="4">
    <w:abstractNumId w:val="4"/>
  </w:num>
  <w:num w:numId="5">
    <w:abstractNumId w:val="3"/>
  </w:num>
  <w:num w:numId="6">
    <w:abstractNumId w:val="7"/>
  </w:num>
  <w:num w:numId="7">
    <w:abstractNumId w:val="9"/>
  </w:num>
  <w:num w:numId="8">
    <w:abstractNumId w:val="15"/>
  </w:num>
  <w:num w:numId="9">
    <w:abstractNumId w:val="20"/>
  </w:num>
  <w:num w:numId="10">
    <w:abstractNumId w:val="11"/>
  </w:num>
  <w:num w:numId="11">
    <w:abstractNumId w:val="8"/>
  </w:num>
  <w:num w:numId="12">
    <w:abstractNumId w:val="2"/>
  </w:num>
  <w:num w:numId="13">
    <w:abstractNumId w:val="10"/>
  </w:num>
  <w:num w:numId="14">
    <w:abstractNumId w:val="16"/>
  </w:num>
  <w:num w:numId="15">
    <w:abstractNumId w:val="21"/>
  </w:num>
  <w:num w:numId="16">
    <w:abstractNumId w:val="13"/>
  </w:num>
  <w:num w:numId="17">
    <w:abstractNumId w:val="18"/>
  </w:num>
  <w:num w:numId="18">
    <w:abstractNumId w:val="12"/>
  </w:num>
  <w:num w:numId="19">
    <w:abstractNumId w:val="5"/>
  </w:num>
  <w:num w:numId="20">
    <w:abstractNumId w:val="19"/>
  </w:num>
  <w:num w:numId="21">
    <w:abstractNumId w:val="6"/>
  </w:num>
  <w:num w:numId="22">
    <w:abstractNumId w:val="17"/>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D9"/>
    <w:rsid w:val="00013FB6"/>
    <w:rsid w:val="00024187"/>
    <w:rsid w:val="0002526C"/>
    <w:rsid w:val="00032988"/>
    <w:rsid w:val="00056E0A"/>
    <w:rsid w:val="000647AB"/>
    <w:rsid w:val="0007565E"/>
    <w:rsid w:val="00086436"/>
    <w:rsid w:val="000B412C"/>
    <w:rsid w:val="000B6025"/>
    <w:rsid w:val="000C6E8C"/>
    <w:rsid w:val="000D0C9A"/>
    <w:rsid w:val="001138FB"/>
    <w:rsid w:val="001271D5"/>
    <w:rsid w:val="00127635"/>
    <w:rsid w:val="0013374E"/>
    <w:rsid w:val="001A3FA5"/>
    <w:rsid w:val="001A530C"/>
    <w:rsid w:val="001A5C44"/>
    <w:rsid w:val="001A71FC"/>
    <w:rsid w:val="001B18CF"/>
    <w:rsid w:val="001D172F"/>
    <w:rsid w:val="001D21CA"/>
    <w:rsid w:val="001E62E0"/>
    <w:rsid w:val="002047D4"/>
    <w:rsid w:val="0021140E"/>
    <w:rsid w:val="0021565F"/>
    <w:rsid w:val="00221E20"/>
    <w:rsid w:val="00222C17"/>
    <w:rsid w:val="00223D7B"/>
    <w:rsid w:val="002302A4"/>
    <w:rsid w:val="00242736"/>
    <w:rsid w:val="00242A98"/>
    <w:rsid w:val="00243B3D"/>
    <w:rsid w:val="0024664B"/>
    <w:rsid w:val="00250C86"/>
    <w:rsid w:val="00275B43"/>
    <w:rsid w:val="002936B6"/>
    <w:rsid w:val="002A192F"/>
    <w:rsid w:val="002B57CD"/>
    <w:rsid w:val="002C43E4"/>
    <w:rsid w:val="002D4D82"/>
    <w:rsid w:val="002E240C"/>
    <w:rsid w:val="002E739E"/>
    <w:rsid w:val="002F3BCE"/>
    <w:rsid w:val="002F7916"/>
    <w:rsid w:val="00330523"/>
    <w:rsid w:val="00332DB7"/>
    <w:rsid w:val="00361540"/>
    <w:rsid w:val="00364BFE"/>
    <w:rsid w:val="00373BF9"/>
    <w:rsid w:val="0037419A"/>
    <w:rsid w:val="00386D3B"/>
    <w:rsid w:val="00394DD1"/>
    <w:rsid w:val="003A5B68"/>
    <w:rsid w:val="003F3401"/>
    <w:rsid w:val="003F6D54"/>
    <w:rsid w:val="0043277E"/>
    <w:rsid w:val="00436650"/>
    <w:rsid w:val="00437EE6"/>
    <w:rsid w:val="00440109"/>
    <w:rsid w:val="004420CF"/>
    <w:rsid w:val="004450F1"/>
    <w:rsid w:val="0046105A"/>
    <w:rsid w:val="00461AA8"/>
    <w:rsid w:val="00466FF2"/>
    <w:rsid w:val="00477F77"/>
    <w:rsid w:val="004A6360"/>
    <w:rsid w:val="004D3F7D"/>
    <w:rsid w:val="005122E1"/>
    <w:rsid w:val="00517467"/>
    <w:rsid w:val="005309CE"/>
    <w:rsid w:val="0056488C"/>
    <w:rsid w:val="00565170"/>
    <w:rsid w:val="00566F28"/>
    <w:rsid w:val="005672E4"/>
    <w:rsid w:val="00585271"/>
    <w:rsid w:val="00587890"/>
    <w:rsid w:val="005A3CBD"/>
    <w:rsid w:val="005C58A7"/>
    <w:rsid w:val="005D4429"/>
    <w:rsid w:val="00607DF0"/>
    <w:rsid w:val="0061356B"/>
    <w:rsid w:val="00620FA5"/>
    <w:rsid w:val="00635148"/>
    <w:rsid w:val="00664C01"/>
    <w:rsid w:val="00675DFA"/>
    <w:rsid w:val="00682BDD"/>
    <w:rsid w:val="00685F67"/>
    <w:rsid w:val="006A6EC4"/>
    <w:rsid w:val="006C1A22"/>
    <w:rsid w:val="006D61D2"/>
    <w:rsid w:val="006E5B99"/>
    <w:rsid w:val="006F314F"/>
    <w:rsid w:val="00700A91"/>
    <w:rsid w:val="00701F31"/>
    <w:rsid w:val="00706BF1"/>
    <w:rsid w:val="00707BA8"/>
    <w:rsid w:val="00727FE6"/>
    <w:rsid w:val="00746F56"/>
    <w:rsid w:val="00761851"/>
    <w:rsid w:val="00765B80"/>
    <w:rsid w:val="00775FC2"/>
    <w:rsid w:val="007824BC"/>
    <w:rsid w:val="00783A21"/>
    <w:rsid w:val="0079158F"/>
    <w:rsid w:val="007A6420"/>
    <w:rsid w:val="007B57F1"/>
    <w:rsid w:val="007E46FC"/>
    <w:rsid w:val="007E615D"/>
    <w:rsid w:val="0080017B"/>
    <w:rsid w:val="008121C7"/>
    <w:rsid w:val="008144C3"/>
    <w:rsid w:val="008219F1"/>
    <w:rsid w:val="0085244D"/>
    <w:rsid w:val="00853F08"/>
    <w:rsid w:val="00884AC2"/>
    <w:rsid w:val="00896894"/>
    <w:rsid w:val="008A02EE"/>
    <w:rsid w:val="008A31AC"/>
    <w:rsid w:val="008C30CD"/>
    <w:rsid w:val="008C4B88"/>
    <w:rsid w:val="008D1CF7"/>
    <w:rsid w:val="008D5F40"/>
    <w:rsid w:val="00920240"/>
    <w:rsid w:val="00930A3E"/>
    <w:rsid w:val="00997FCE"/>
    <w:rsid w:val="009C01BC"/>
    <w:rsid w:val="009C098C"/>
    <w:rsid w:val="009C0C17"/>
    <w:rsid w:val="009C1E75"/>
    <w:rsid w:val="009C7669"/>
    <w:rsid w:val="009E06F6"/>
    <w:rsid w:val="009E731D"/>
    <w:rsid w:val="00A030D9"/>
    <w:rsid w:val="00A23A38"/>
    <w:rsid w:val="00A37849"/>
    <w:rsid w:val="00A5442C"/>
    <w:rsid w:val="00A91DAC"/>
    <w:rsid w:val="00AB57C8"/>
    <w:rsid w:val="00AF6D06"/>
    <w:rsid w:val="00B134A4"/>
    <w:rsid w:val="00B53E11"/>
    <w:rsid w:val="00B96586"/>
    <w:rsid w:val="00BA279F"/>
    <w:rsid w:val="00BA5BEC"/>
    <w:rsid w:val="00BB40E1"/>
    <w:rsid w:val="00BD4453"/>
    <w:rsid w:val="00BD5B18"/>
    <w:rsid w:val="00BD626C"/>
    <w:rsid w:val="00BE686C"/>
    <w:rsid w:val="00C12BB0"/>
    <w:rsid w:val="00C162C4"/>
    <w:rsid w:val="00C46ACA"/>
    <w:rsid w:val="00C6380E"/>
    <w:rsid w:val="00C6695A"/>
    <w:rsid w:val="00C73FC6"/>
    <w:rsid w:val="00C744E7"/>
    <w:rsid w:val="00C83545"/>
    <w:rsid w:val="00CA1F00"/>
    <w:rsid w:val="00CE062C"/>
    <w:rsid w:val="00CF19D9"/>
    <w:rsid w:val="00CF24B1"/>
    <w:rsid w:val="00D21AEC"/>
    <w:rsid w:val="00D23D3C"/>
    <w:rsid w:val="00D25F3F"/>
    <w:rsid w:val="00D3329E"/>
    <w:rsid w:val="00D6101D"/>
    <w:rsid w:val="00D770A7"/>
    <w:rsid w:val="00D86E13"/>
    <w:rsid w:val="00DA33B0"/>
    <w:rsid w:val="00DB2EB2"/>
    <w:rsid w:val="00DD654B"/>
    <w:rsid w:val="00DD708F"/>
    <w:rsid w:val="00DE10CB"/>
    <w:rsid w:val="00DE36E7"/>
    <w:rsid w:val="00DF056B"/>
    <w:rsid w:val="00DF4D00"/>
    <w:rsid w:val="00DF4EA6"/>
    <w:rsid w:val="00DF4FDB"/>
    <w:rsid w:val="00E25CE8"/>
    <w:rsid w:val="00E2605B"/>
    <w:rsid w:val="00E45C04"/>
    <w:rsid w:val="00E54943"/>
    <w:rsid w:val="00E62A04"/>
    <w:rsid w:val="00E843CF"/>
    <w:rsid w:val="00EF00BF"/>
    <w:rsid w:val="00EF204C"/>
    <w:rsid w:val="00EF7FC6"/>
    <w:rsid w:val="00F02A24"/>
    <w:rsid w:val="00F12FA7"/>
    <w:rsid w:val="00F24513"/>
    <w:rsid w:val="00F30379"/>
    <w:rsid w:val="00F3419B"/>
    <w:rsid w:val="00F4182D"/>
    <w:rsid w:val="00F83DC7"/>
    <w:rsid w:val="00F86858"/>
    <w:rsid w:val="00F9351E"/>
    <w:rsid w:val="00FB0E05"/>
    <w:rsid w:val="00FC0FCF"/>
    <w:rsid w:val="00FC65EC"/>
    <w:rsid w:val="00FF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905DC"/>
  <w15:chartTrackingRefBased/>
  <w15:docId w15:val="{ADA77D55-593B-427C-BDC1-98A04B53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62C"/>
    <w:rPr>
      <w:rFonts w:ascii="Myriad Pro" w:hAnsi="Myriad Pro"/>
    </w:rPr>
  </w:style>
  <w:style w:type="paragraph" w:styleId="Heading1">
    <w:name w:val="heading 1"/>
    <w:basedOn w:val="Normal"/>
    <w:next w:val="Normal"/>
    <w:link w:val="Heading1Char"/>
    <w:uiPriority w:val="9"/>
    <w:qFormat/>
    <w:rsid w:val="00775FC2"/>
    <w:pPr>
      <w:keepNext/>
      <w:keepLines/>
      <w:spacing w:before="240" w:after="120"/>
      <w:ind w:left="709"/>
      <w:outlineLvl w:val="0"/>
    </w:pPr>
    <w:rPr>
      <w:rFonts w:ascii="Rockwell" w:eastAsiaTheme="majorEastAsia" w:hAnsi="Rockwell" w:cstheme="majorBidi"/>
      <w:sz w:val="28"/>
      <w:szCs w:val="32"/>
    </w:rPr>
  </w:style>
  <w:style w:type="paragraph" w:styleId="Heading2">
    <w:name w:val="heading 2"/>
    <w:basedOn w:val="Normal"/>
    <w:next w:val="Normal"/>
    <w:link w:val="Heading2Char"/>
    <w:uiPriority w:val="9"/>
    <w:unhideWhenUsed/>
    <w:qFormat/>
    <w:rsid w:val="002F3BCE"/>
    <w:pPr>
      <w:keepNext/>
      <w:keepLines/>
      <w:spacing w:before="360" w:after="120"/>
      <w:ind w:left="709"/>
      <w:outlineLvl w:val="1"/>
    </w:pPr>
    <w:rPr>
      <w:rFonts w:ascii="Rockwell" w:eastAsiaTheme="majorEastAsia" w:hAnsi="Rockwell" w:cstheme="majorBidi"/>
      <w:sz w:val="26"/>
      <w:szCs w:val="26"/>
    </w:rPr>
  </w:style>
  <w:style w:type="paragraph" w:styleId="Heading3">
    <w:name w:val="heading 3"/>
    <w:basedOn w:val="Normal"/>
    <w:next w:val="Normal"/>
    <w:link w:val="Heading3Char"/>
    <w:uiPriority w:val="9"/>
    <w:unhideWhenUsed/>
    <w:qFormat/>
    <w:rsid w:val="00437EE6"/>
    <w:pPr>
      <w:keepNext/>
      <w:ind w:firstLine="709"/>
      <w:jc w:val="both"/>
      <w:outlineLvl w:val="2"/>
    </w:pPr>
    <w:rPr>
      <w:b/>
      <w:color w:val="002060"/>
    </w:rPr>
  </w:style>
  <w:style w:type="paragraph" w:styleId="Heading4">
    <w:name w:val="heading 4"/>
    <w:basedOn w:val="Normal"/>
    <w:next w:val="Normal"/>
    <w:link w:val="Heading4Char"/>
    <w:uiPriority w:val="9"/>
    <w:unhideWhenUsed/>
    <w:qFormat/>
    <w:rsid w:val="00EF00BF"/>
    <w:pPr>
      <w:keepNext/>
      <w:keepLines/>
      <w:spacing w:before="40" w:after="0"/>
      <w:ind w:left="709"/>
      <w:outlineLvl w:val="3"/>
    </w:pPr>
    <w:rPr>
      <w:rFonts w:eastAsiaTheme="majorEastAsia"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nhideWhenUsed/>
    <w:qFormat/>
    <w:rsid w:val="00CE062C"/>
    <w:pPr>
      <w:spacing w:after="0" w:line="240" w:lineRule="auto"/>
    </w:pPr>
    <w:rPr>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rsid w:val="00CE062C"/>
    <w:rPr>
      <w:rFonts w:ascii="Myriad Pro" w:hAnsi="Myriad Pro"/>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basedOn w:val="DefaultParagraphFont"/>
    <w:link w:val="Char2"/>
    <w:unhideWhenUsed/>
    <w:qFormat/>
    <w:rsid w:val="00CE062C"/>
    <w:rPr>
      <w:vertAlign w:val="superscript"/>
    </w:rPr>
  </w:style>
  <w:style w:type="character" w:styleId="Hyperlink">
    <w:name w:val="Hyperlink"/>
    <w:basedOn w:val="DefaultParagraphFont"/>
    <w:uiPriority w:val="99"/>
    <w:unhideWhenUsed/>
    <w:rsid w:val="007A6420"/>
    <w:rPr>
      <w:color w:val="0563C1" w:themeColor="hyperlink"/>
      <w:u w:val="single"/>
    </w:rPr>
  </w:style>
  <w:style w:type="character" w:styleId="UnresolvedMention">
    <w:name w:val="Unresolved Mention"/>
    <w:basedOn w:val="DefaultParagraphFont"/>
    <w:uiPriority w:val="99"/>
    <w:semiHidden/>
    <w:unhideWhenUsed/>
    <w:rsid w:val="007A6420"/>
    <w:rPr>
      <w:color w:val="808080"/>
      <w:shd w:val="clear" w:color="auto" w:fill="E6E6E6"/>
    </w:rPr>
  </w:style>
  <w:style w:type="table" w:styleId="TableGrid">
    <w:name w:val="Table Grid"/>
    <w:basedOn w:val="TableNormal"/>
    <w:uiPriority w:val="39"/>
    <w:rsid w:val="0044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4E7"/>
    <w:pPr>
      <w:ind w:left="720"/>
      <w:contextualSpacing/>
    </w:pPr>
  </w:style>
  <w:style w:type="character" w:styleId="CommentReference">
    <w:name w:val="annotation reference"/>
    <w:basedOn w:val="DefaultParagraphFont"/>
    <w:uiPriority w:val="99"/>
    <w:semiHidden/>
    <w:unhideWhenUsed/>
    <w:rsid w:val="00CF24B1"/>
    <w:rPr>
      <w:sz w:val="16"/>
      <w:szCs w:val="16"/>
    </w:rPr>
  </w:style>
  <w:style w:type="paragraph" w:styleId="CommentText">
    <w:name w:val="annotation text"/>
    <w:basedOn w:val="Normal"/>
    <w:link w:val="CommentTextChar"/>
    <w:uiPriority w:val="99"/>
    <w:semiHidden/>
    <w:unhideWhenUsed/>
    <w:rsid w:val="00CF24B1"/>
    <w:pPr>
      <w:spacing w:line="240" w:lineRule="auto"/>
    </w:pPr>
    <w:rPr>
      <w:sz w:val="20"/>
      <w:szCs w:val="20"/>
    </w:rPr>
  </w:style>
  <w:style w:type="character" w:customStyle="1" w:styleId="CommentTextChar">
    <w:name w:val="Comment Text Char"/>
    <w:basedOn w:val="DefaultParagraphFont"/>
    <w:link w:val="CommentText"/>
    <w:uiPriority w:val="99"/>
    <w:semiHidden/>
    <w:rsid w:val="00CF24B1"/>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CF24B1"/>
    <w:rPr>
      <w:b/>
      <w:bCs/>
    </w:rPr>
  </w:style>
  <w:style w:type="character" w:customStyle="1" w:styleId="CommentSubjectChar">
    <w:name w:val="Comment Subject Char"/>
    <w:basedOn w:val="CommentTextChar"/>
    <w:link w:val="CommentSubject"/>
    <w:uiPriority w:val="99"/>
    <w:semiHidden/>
    <w:rsid w:val="00CF24B1"/>
    <w:rPr>
      <w:rFonts w:ascii="Myriad Pro" w:hAnsi="Myriad Pro"/>
      <w:b/>
      <w:bCs/>
      <w:sz w:val="20"/>
      <w:szCs w:val="20"/>
    </w:rPr>
  </w:style>
  <w:style w:type="paragraph" w:styleId="BalloonText">
    <w:name w:val="Balloon Text"/>
    <w:basedOn w:val="Normal"/>
    <w:link w:val="BalloonTextChar"/>
    <w:uiPriority w:val="99"/>
    <w:semiHidden/>
    <w:unhideWhenUsed/>
    <w:rsid w:val="00CF2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4B1"/>
    <w:rPr>
      <w:rFonts w:ascii="Segoe UI" w:hAnsi="Segoe UI" w:cs="Segoe UI"/>
      <w:sz w:val="18"/>
      <w:szCs w:val="18"/>
    </w:rPr>
  </w:style>
  <w:style w:type="character" w:customStyle="1" w:styleId="Heading1Char">
    <w:name w:val="Heading 1 Char"/>
    <w:basedOn w:val="DefaultParagraphFont"/>
    <w:link w:val="Heading1"/>
    <w:uiPriority w:val="9"/>
    <w:rsid w:val="00775FC2"/>
    <w:rPr>
      <w:rFonts w:ascii="Rockwell" w:eastAsiaTheme="majorEastAsia" w:hAnsi="Rockwell" w:cstheme="majorBidi"/>
      <w:sz w:val="28"/>
      <w:szCs w:val="32"/>
    </w:rPr>
  </w:style>
  <w:style w:type="character" w:customStyle="1" w:styleId="Heading2Char">
    <w:name w:val="Heading 2 Char"/>
    <w:basedOn w:val="DefaultParagraphFont"/>
    <w:link w:val="Heading2"/>
    <w:uiPriority w:val="9"/>
    <w:rsid w:val="002F3BCE"/>
    <w:rPr>
      <w:rFonts w:ascii="Rockwell" w:eastAsiaTheme="majorEastAsia" w:hAnsi="Rockwell" w:cstheme="majorBidi"/>
      <w:sz w:val="26"/>
      <w:szCs w:val="26"/>
    </w:rPr>
  </w:style>
  <w:style w:type="character" w:customStyle="1" w:styleId="Heading3Char">
    <w:name w:val="Heading 3 Char"/>
    <w:basedOn w:val="DefaultParagraphFont"/>
    <w:link w:val="Heading3"/>
    <w:uiPriority w:val="9"/>
    <w:rsid w:val="00437EE6"/>
    <w:rPr>
      <w:rFonts w:ascii="Myriad Pro" w:hAnsi="Myriad Pro"/>
      <w:b/>
      <w:color w:val="002060"/>
    </w:rPr>
  </w:style>
  <w:style w:type="paragraph" w:styleId="Header">
    <w:name w:val="header"/>
    <w:basedOn w:val="Normal"/>
    <w:link w:val="HeaderChar"/>
    <w:uiPriority w:val="99"/>
    <w:unhideWhenUsed/>
    <w:rsid w:val="009C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1BC"/>
    <w:rPr>
      <w:rFonts w:ascii="Myriad Pro" w:hAnsi="Myriad Pro"/>
    </w:rPr>
  </w:style>
  <w:style w:type="paragraph" w:styleId="Footer">
    <w:name w:val="footer"/>
    <w:basedOn w:val="Normal"/>
    <w:link w:val="FooterChar"/>
    <w:uiPriority w:val="99"/>
    <w:unhideWhenUsed/>
    <w:rsid w:val="009C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1BC"/>
    <w:rPr>
      <w:rFonts w:ascii="Myriad Pro" w:hAnsi="Myriad Pro"/>
    </w:rPr>
  </w:style>
  <w:style w:type="character" w:customStyle="1" w:styleId="Heading4Char">
    <w:name w:val="Heading 4 Char"/>
    <w:basedOn w:val="DefaultParagraphFont"/>
    <w:link w:val="Heading4"/>
    <w:uiPriority w:val="9"/>
    <w:rsid w:val="00EF00BF"/>
    <w:rPr>
      <w:rFonts w:ascii="Myriad Pro" w:eastAsiaTheme="majorEastAsia" w:hAnsi="Myriad Pro" w:cstheme="majorBidi"/>
      <w:i/>
      <w:iCs/>
      <w:color w:val="2F5496" w:themeColor="accent1" w:themeShade="BF"/>
    </w:rPr>
  </w:style>
  <w:style w:type="paragraph" w:styleId="TOC1">
    <w:name w:val="toc 1"/>
    <w:basedOn w:val="Normal"/>
    <w:next w:val="Normal"/>
    <w:autoRedefine/>
    <w:uiPriority w:val="39"/>
    <w:unhideWhenUsed/>
    <w:rsid w:val="00D25F3F"/>
    <w:pPr>
      <w:spacing w:after="100"/>
    </w:pPr>
  </w:style>
  <w:style w:type="paragraph" w:styleId="TOC2">
    <w:name w:val="toc 2"/>
    <w:basedOn w:val="Normal"/>
    <w:next w:val="Normal"/>
    <w:autoRedefine/>
    <w:uiPriority w:val="39"/>
    <w:unhideWhenUsed/>
    <w:rsid w:val="00D25F3F"/>
    <w:pPr>
      <w:spacing w:after="100"/>
      <w:ind w:left="220"/>
    </w:pPr>
  </w:style>
  <w:style w:type="paragraph" w:styleId="TOC3">
    <w:name w:val="toc 3"/>
    <w:basedOn w:val="Normal"/>
    <w:next w:val="Normal"/>
    <w:autoRedefine/>
    <w:uiPriority w:val="39"/>
    <w:unhideWhenUsed/>
    <w:rsid w:val="00D25F3F"/>
    <w:pPr>
      <w:spacing w:after="100"/>
      <w:ind w:left="440"/>
    </w:pPr>
  </w:style>
  <w:style w:type="paragraph" w:customStyle="1" w:styleId="Char2">
    <w:name w:val="Char2"/>
    <w:basedOn w:val="Normal"/>
    <w:link w:val="FootnoteReference"/>
    <w:uiPriority w:val="99"/>
    <w:rsid w:val="00853F08"/>
    <w:pPr>
      <w:spacing w:line="240" w:lineRule="exact"/>
    </w:pPr>
    <w:rPr>
      <w:rFonts w:asciiTheme="minorHAnsi" w:hAnsiTheme="minorHAnsi"/>
      <w:vertAlign w:val="superscript"/>
    </w:rPr>
  </w:style>
  <w:style w:type="character" w:styleId="Strong">
    <w:name w:val="Strong"/>
    <w:aliases w:val="Figue Heading"/>
    <w:basedOn w:val="DefaultParagraphFont"/>
    <w:uiPriority w:val="22"/>
    <w:qFormat/>
    <w:rsid w:val="00853F08"/>
    <w:rPr>
      <w:rFonts w:asciiTheme="minorHAnsi" w:hAnsiTheme="minorHAnsi"/>
      <w:bCs/>
      <w:i/>
      <w:color w:val="4472C4" w:themeColor="accent1"/>
      <w:sz w:val="20"/>
    </w:rPr>
  </w:style>
  <w:style w:type="paragraph" w:styleId="NoSpacing">
    <w:name w:val="No Spacing"/>
    <w:uiPriority w:val="1"/>
    <w:qFormat/>
    <w:rsid w:val="00853F08"/>
    <w:pPr>
      <w:pBdr>
        <w:top w:val="nil"/>
        <w:left w:val="nil"/>
        <w:bottom w:val="nil"/>
        <w:right w:val="nil"/>
        <w:between w:val="nil"/>
      </w:pBdr>
      <w:spacing w:after="0" w:line="240" w:lineRule="auto"/>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0520">
      <w:bodyDiv w:val="1"/>
      <w:marLeft w:val="0"/>
      <w:marRight w:val="0"/>
      <w:marTop w:val="0"/>
      <w:marBottom w:val="0"/>
      <w:divBdr>
        <w:top w:val="none" w:sz="0" w:space="0" w:color="auto"/>
        <w:left w:val="none" w:sz="0" w:space="0" w:color="auto"/>
        <w:bottom w:val="none" w:sz="0" w:space="0" w:color="auto"/>
        <w:right w:val="none" w:sz="0" w:space="0" w:color="auto"/>
      </w:divBdr>
    </w:div>
    <w:div w:id="987636847">
      <w:bodyDiv w:val="1"/>
      <w:marLeft w:val="0"/>
      <w:marRight w:val="0"/>
      <w:marTop w:val="0"/>
      <w:marBottom w:val="0"/>
      <w:divBdr>
        <w:top w:val="none" w:sz="0" w:space="0" w:color="auto"/>
        <w:left w:val="none" w:sz="0" w:space="0" w:color="auto"/>
        <w:bottom w:val="none" w:sz="0" w:space="0" w:color="auto"/>
        <w:right w:val="none" w:sz="0" w:space="0" w:color="auto"/>
      </w:divBdr>
    </w:div>
    <w:div w:id="1421488586">
      <w:bodyDiv w:val="1"/>
      <w:marLeft w:val="0"/>
      <w:marRight w:val="0"/>
      <w:marTop w:val="0"/>
      <w:marBottom w:val="0"/>
      <w:divBdr>
        <w:top w:val="none" w:sz="0" w:space="0" w:color="auto"/>
        <w:left w:val="none" w:sz="0" w:space="0" w:color="auto"/>
        <w:bottom w:val="none" w:sz="0" w:space="0" w:color="auto"/>
        <w:right w:val="none" w:sz="0" w:space="0" w:color="auto"/>
      </w:divBdr>
    </w:div>
    <w:div w:id="1574194513">
      <w:bodyDiv w:val="1"/>
      <w:marLeft w:val="0"/>
      <w:marRight w:val="0"/>
      <w:marTop w:val="0"/>
      <w:marBottom w:val="0"/>
      <w:divBdr>
        <w:top w:val="none" w:sz="0" w:space="0" w:color="auto"/>
        <w:left w:val="none" w:sz="0" w:space="0" w:color="auto"/>
        <w:bottom w:val="none" w:sz="0" w:space="0" w:color="auto"/>
        <w:right w:val="none" w:sz="0" w:space="0" w:color="auto"/>
      </w:divBdr>
      <w:divsChild>
        <w:div w:id="105272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bit.ly/2HijFsF"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2" Type="http://schemas.openxmlformats.org/officeDocument/2006/relationships/hyperlink" Target="https://unstats.un.org/unsd/statcom/47th-session/documents/2016-2-IAEG-SDGs-E.pdf"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EEE1-545F-4706-AF27-1C4247C5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4</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Peleah</dc:creator>
  <cp:keywords/>
  <dc:description/>
  <cp:lastModifiedBy>Mihail Peleah</cp:lastModifiedBy>
  <cp:revision>51</cp:revision>
  <dcterms:created xsi:type="dcterms:W3CDTF">2018-03-28T06:58:00Z</dcterms:created>
  <dcterms:modified xsi:type="dcterms:W3CDTF">2018-04-12T15:06:00Z</dcterms:modified>
</cp:coreProperties>
</file>